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34C8244B"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40361D">
        <w:rPr>
          <w:sz w:val="16"/>
          <w:szCs w:val="16"/>
        </w:rPr>
        <w:t>Villas of Hickory Estates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40361D">
        <w:rPr>
          <w:sz w:val="16"/>
          <w:szCs w:val="16"/>
        </w:rPr>
        <w:t>3211 Hickory Tree Road, Balch Springs, Texas 75180</w:t>
      </w:r>
      <w:r w:rsidRPr="005D6146">
        <w:rPr>
          <w:sz w:val="16"/>
          <w:szCs w:val="16"/>
        </w:rPr>
        <w:t>,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bookmarkStart w:id="0" w:name="_GoBack"/>
      <w:bookmarkEnd w:id="0"/>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A6975" w14:textId="77777777" w:rsidR="00F77CEC" w:rsidRDefault="00F77CEC" w:rsidP="005D6146">
      <w:r>
        <w:separator/>
      </w:r>
    </w:p>
  </w:endnote>
  <w:endnote w:type="continuationSeparator" w:id="0">
    <w:p w14:paraId="7FFF6196" w14:textId="77777777" w:rsidR="00F77CEC" w:rsidRDefault="00F77CEC"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40361D">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40361D" w:rsidRPr="0040361D">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2747" w14:textId="77777777" w:rsidR="00F77CEC" w:rsidRDefault="00F77CEC" w:rsidP="005D6146">
      <w:r>
        <w:separator/>
      </w:r>
    </w:p>
  </w:footnote>
  <w:footnote w:type="continuationSeparator" w:id="0">
    <w:p w14:paraId="3AA7C031" w14:textId="77777777" w:rsidR="00F77CEC" w:rsidRDefault="00F77CEC"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290923"/>
    <w:rsid w:val="002A2E43"/>
    <w:rsid w:val="0030519E"/>
    <w:rsid w:val="00374EBD"/>
    <w:rsid w:val="003A7C38"/>
    <w:rsid w:val="003C6497"/>
    <w:rsid w:val="003F4B3C"/>
    <w:rsid w:val="0040361D"/>
    <w:rsid w:val="00492340"/>
    <w:rsid w:val="004E1A79"/>
    <w:rsid w:val="00512A01"/>
    <w:rsid w:val="005D6146"/>
    <w:rsid w:val="0066701B"/>
    <w:rsid w:val="006C258A"/>
    <w:rsid w:val="007E0D65"/>
    <w:rsid w:val="007F7A33"/>
    <w:rsid w:val="008149A9"/>
    <w:rsid w:val="00885502"/>
    <w:rsid w:val="008C3D84"/>
    <w:rsid w:val="00A86CF2"/>
    <w:rsid w:val="00AA5961"/>
    <w:rsid w:val="00AE0F5E"/>
    <w:rsid w:val="00CC0226"/>
    <w:rsid w:val="00CC61B2"/>
    <w:rsid w:val="00CD7541"/>
    <w:rsid w:val="00CF7C6B"/>
    <w:rsid w:val="00D42B18"/>
    <w:rsid w:val="00EF330B"/>
    <w:rsid w:val="00EF53A1"/>
    <w:rsid w:val="00F77CEC"/>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2024-02-07T19:22:00Z</dcterms:created>
  <dcterms:modified xsi:type="dcterms:W3CDTF">2024-02-07T19:24:00Z</dcterms:modified>
</cp:coreProperties>
</file>